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F" w:rsidRDefault="002D0FC4" w:rsidP="002D0FC4">
      <w:pPr>
        <w:pStyle w:val="ConsPlusTitlePage"/>
        <w:jc w:val="center"/>
      </w:pPr>
      <w:r w:rsidRPr="003103AD">
        <w:rPr>
          <w:rFonts w:ascii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45135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43F">
        <w:br/>
      </w:r>
    </w:p>
    <w:p w:rsidR="00B8043F" w:rsidRDefault="002D0FC4" w:rsidP="002D0FC4">
      <w:pPr>
        <w:pStyle w:val="ConsPlusTitlePage"/>
        <w:jc w:val="center"/>
      </w:pPr>
      <w:r w:rsidRPr="002D0FC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8043F" w:rsidRDefault="002D0F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2D0FC4" w:rsidRPr="002D0FC4" w:rsidRDefault="002D0F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РЕШЕНИЕ</w:t>
      </w:r>
    </w:p>
    <w:p w:rsidR="00F01960" w:rsidRDefault="00F01960" w:rsidP="00F01960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842"/>
      </w:tblGrid>
      <w:tr w:rsidR="00F01960" w:rsidRPr="00F01960" w:rsidTr="006B6717">
        <w:tc>
          <w:tcPr>
            <w:tcW w:w="1620" w:type="dxa"/>
            <w:hideMark/>
          </w:tcPr>
          <w:p w:rsidR="00F01960" w:rsidRPr="00F01960" w:rsidRDefault="00F01960" w:rsidP="00F0196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960">
              <w:rPr>
                <w:rFonts w:ascii="Times New Roman" w:hAnsi="Times New Roman" w:cs="Times New Roman"/>
                <w:b/>
                <w:sz w:val="28"/>
                <w:szCs w:val="28"/>
              </w:rPr>
              <w:t>29.04.2020</w:t>
            </w:r>
          </w:p>
        </w:tc>
        <w:tc>
          <w:tcPr>
            <w:tcW w:w="5580" w:type="dxa"/>
          </w:tcPr>
          <w:p w:rsidR="00F01960" w:rsidRPr="00F01960" w:rsidRDefault="00F01960" w:rsidP="00F0196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F01960" w:rsidRPr="00F01960" w:rsidRDefault="00F01960" w:rsidP="00F0196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9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:rsidR="00F01960" w:rsidRPr="00F01960" w:rsidRDefault="00F01960" w:rsidP="00F0196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F01960" w:rsidRDefault="00F01960" w:rsidP="00F30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E21" w:rsidRDefault="002D0FC4" w:rsidP="00F30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74FF3">
        <w:rPr>
          <w:rFonts w:ascii="Times New Roman" w:hAnsi="Times New Roman" w:cs="Times New Roman"/>
          <w:sz w:val="28"/>
          <w:szCs w:val="28"/>
        </w:rPr>
        <w:t xml:space="preserve"> </w:t>
      </w:r>
      <w:r w:rsidR="00541C7A">
        <w:rPr>
          <w:rFonts w:ascii="Times New Roman" w:hAnsi="Times New Roman" w:cs="Times New Roman"/>
          <w:sz w:val="28"/>
          <w:szCs w:val="28"/>
        </w:rPr>
        <w:t>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21" w:rsidRDefault="002D0FC4" w:rsidP="00F30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3F" w:rsidRDefault="002D0FC4" w:rsidP="00F30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D0FC4" w:rsidRPr="002D0FC4" w:rsidRDefault="002D0FC4" w:rsidP="002D0F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26CC" w:rsidRDefault="00B8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5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статьей 64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 w:rsidR="00F30E21">
        <w:rPr>
          <w:rFonts w:ascii="Times New Roman" w:hAnsi="Times New Roman" w:cs="Times New Roman"/>
          <w:sz w:val="28"/>
          <w:szCs w:val="28"/>
        </w:rPr>
        <w:t>№</w:t>
      </w:r>
      <w:r w:rsidRPr="002D0F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о бюд</w:t>
      </w:r>
      <w:r w:rsidR="002D0FC4">
        <w:rPr>
          <w:rFonts w:ascii="Times New Roman" w:hAnsi="Times New Roman" w:cs="Times New Roman"/>
          <w:sz w:val="28"/>
          <w:szCs w:val="28"/>
        </w:rPr>
        <w:t xml:space="preserve">жетном процессе в </w:t>
      </w:r>
      <w:proofErr w:type="spellStart"/>
      <w:r w:rsidR="002D0FC4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="002D0FC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округе, утвержденным ре</w:t>
      </w:r>
      <w:r w:rsidR="002D0FC4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2D0FC4">
        <w:rPr>
          <w:rFonts w:ascii="Times New Roman" w:hAnsi="Times New Roman" w:cs="Times New Roman"/>
          <w:sz w:val="28"/>
          <w:szCs w:val="28"/>
        </w:rPr>
        <w:t>Думы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C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D0F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B43BA">
        <w:rPr>
          <w:rFonts w:ascii="Times New Roman" w:hAnsi="Times New Roman" w:cs="Times New Roman"/>
          <w:sz w:val="28"/>
          <w:szCs w:val="28"/>
        </w:rPr>
        <w:t xml:space="preserve"> от 23</w:t>
      </w:r>
      <w:r w:rsidR="005126CC">
        <w:rPr>
          <w:rFonts w:ascii="Times New Roman" w:hAnsi="Times New Roman" w:cs="Times New Roman"/>
          <w:sz w:val="28"/>
          <w:szCs w:val="28"/>
        </w:rPr>
        <w:t>.12.</w:t>
      </w:r>
      <w:r w:rsidR="002D0FC4">
        <w:rPr>
          <w:rFonts w:ascii="Times New Roman" w:hAnsi="Times New Roman" w:cs="Times New Roman"/>
          <w:sz w:val="28"/>
          <w:szCs w:val="28"/>
        </w:rPr>
        <w:t>2019г. №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r w:rsidR="00BB43BA">
        <w:rPr>
          <w:rFonts w:ascii="Times New Roman" w:hAnsi="Times New Roman" w:cs="Times New Roman"/>
          <w:sz w:val="28"/>
          <w:szCs w:val="28"/>
        </w:rPr>
        <w:t>38</w:t>
      </w:r>
      <w:r w:rsidRPr="002D0FC4">
        <w:rPr>
          <w:rFonts w:ascii="Times New Roman" w:hAnsi="Times New Roman" w:cs="Times New Roman"/>
          <w:sz w:val="28"/>
          <w:szCs w:val="28"/>
        </w:rPr>
        <w:t>,</w:t>
      </w:r>
    </w:p>
    <w:p w:rsidR="00B8043F" w:rsidRPr="002D0FC4" w:rsidRDefault="00512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РЕШАЕТ</w:t>
      </w:r>
      <w:r w:rsidR="00B8043F" w:rsidRPr="002D0FC4">
        <w:rPr>
          <w:rFonts w:ascii="Times New Roman" w:hAnsi="Times New Roman" w:cs="Times New Roman"/>
          <w:sz w:val="28"/>
          <w:szCs w:val="28"/>
        </w:rPr>
        <w:t>:</w:t>
      </w:r>
    </w:p>
    <w:p w:rsidR="005126CC" w:rsidRDefault="00B8043F" w:rsidP="007E6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об управлении муниципальным долгом и осуществлении муниципальн</w:t>
      </w:r>
      <w:r w:rsidR="00541C7A">
        <w:rPr>
          <w:rFonts w:ascii="Times New Roman" w:hAnsi="Times New Roman" w:cs="Times New Roman"/>
          <w:sz w:val="28"/>
          <w:szCs w:val="28"/>
        </w:rPr>
        <w:t xml:space="preserve">ых заимствований </w:t>
      </w:r>
      <w:proofErr w:type="spellStart"/>
      <w:r w:rsidR="00541C7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r w:rsidR="00541C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E6864" w:rsidRDefault="007E6864" w:rsidP="007E68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333CC"/>
          <w:sz w:val="28"/>
          <w:szCs w:val="28"/>
        </w:rPr>
      </w:pPr>
      <w:r w:rsidRPr="007E686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8" w:history="1">
        <w:r w:rsidRPr="007E68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http://gainynv-news.ru</w:t>
        </w:r>
      </w:hyperlink>
      <w:r w:rsidRPr="007E6864">
        <w:rPr>
          <w:rFonts w:ascii="Times New Roman" w:hAnsi="Times New Roman" w:cs="Times New Roman"/>
          <w:sz w:val="28"/>
          <w:szCs w:val="28"/>
        </w:rPr>
        <w:t xml:space="preserve"> </w:t>
      </w:r>
      <w:r w:rsidRPr="007E6864">
        <w:rPr>
          <w:rFonts w:ascii="Times New Roman" w:hAnsi="Times New Roman" w:cs="Times New Roman"/>
          <w:color w:val="3333CC"/>
          <w:sz w:val="28"/>
          <w:szCs w:val="28"/>
        </w:rPr>
        <w:t>.</w:t>
      </w:r>
    </w:p>
    <w:p w:rsidR="005126CC" w:rsidRDefault="007E6864" w:rsidP="007E68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43F" w:rsidRPr="002D0FC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обнародования и распространяется на правоотношения, возникшие с 1 я</w:t>
      </w:r>
      <w:r w:rsidR="005126CC">
        <w:rPr>
          <w:rFonts w:ascii="Times New Roman" w:hAnsi="Times New Roman" w:cs="Times New Roman"/>
          <w:sz w:val="28"/>
          <w:szCs w:val="28"/>
        </w:rPr>
        <w:t>нваря 2020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43F" w:rsidRPr="002D0FC4" w:rsidRDefault="007E6864" w:rsidP="007E6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043F" w:rsidRPr="002D0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43F" w:rsidRPr="002D0FC4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5126CC">
        <w:rPr>
          <w:rFonts w:ascii="Times New Roman" w:hAnsi="Times New Roman" w:cs="Times New Roman"/>
          <w:sz w:val="28"/>
          <w:szCs w:val="28"/>
        </w:rPr>
        <w:t xml:space="preserve">тоящего решения возложить на комиссию Думы </w:t>
      </w:r>
      <w:proofErr w:type="spellStart"/>
      <w:r w:rsidR="005126CC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5126CC">
        <w:rPr>
          <w:rFonts w:ascii="Times New Roman" w:hAnsi="Times New Roman" w:cs="Times New Roman"/>
          <w:sz w:val="28"/>
          <w:szCs w:val="28"/>
        </w:rPr>
        <w:t xml:space="preserve"> муниципального округа по бюджетной, налоговой и экономической политике.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Default="00B8043F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Предс</w:t>
      </w:r>
      <w:r w:rsidR="005126CC">
        <w:rPr>
          <w:rFonts w:ascii="Times New Roman" w:hAnsi="Times New Roman" w:cs="Times New Roman"/>
          <w:sz w:val="28"/>
          <w:szCs w:val="28"/>
        </w:rPr>
        <w:t xml:space="preserve">едатель </w:t>
      </w:r>
      <w:r w:rsidRPr="002D0FC4">
        <w:rPr>
          <w:rFonts w:ascii="Times New Roman" w:hAnsi="Times New Roman" w:cs="Times New Roman"/>
          <w:sz w:val="28"/>
          <w:szCs w:val="28"/>
        </w:rPr>
        <w:t xml:space="preserve"> Думы</w:t>
      </w:r>
      <w:r w:rsidR="00512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 А. Ковалев</w:t>
      </w:r>
    </w:p>
    <w:p w:rsidR="005126CC" w:rsidRDefault="005126CC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126CC" w:rsidRPr="002D0FC4" w:rsidRDefault="005126CC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5126CC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</w:t>
      </w:r>
      <w:r w:rsidR="00AE3AC8">
        <w:rPr>
          <w:rFonts w:ascii="Times New Roman" w:hAnsi="Times New Roman" w:cs="Times New Roman"/>
          <w:sz w:val="28"/>
          <w:szCs w:val="28"/>
        </w:rPr>
        <w:t xml:space="preserve">                                          Е. А. </w:t>
      </w:r>
      <w:proofErr w:type="spellStart"/>
      <w:r w:rsidR="00AE3AC8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5126CC" w:rsidRDefault="00541C7A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126CC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5126CC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</w:p>
    <w:p w:rsidR="00B8043F" w:rsidRDefault="005126CC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6570B" w:rsidRPr="002D0FC4" w:rsidRDefault="0076570B" w:rsidP="005126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8043F" w:rsidRPr="00F01960" w:rsidRDefault="00B804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196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8043F" w:rsidRPr="00F01960" w:rsidRDefault="00AE3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1960">
        <w:rPr>
          <w:rFonts w:ascii="Times New Roman" w:hAnsi="Times New Roman" w:cs="Times New Roman"/>
          <w:sz w:val="24"/>
          <w:szCs w:val="24"/>
        </w:rPr>
        <w:t>р</w:t>
      </w:r>
      <w:r w:rsidR="00B8043F" w:rsidRPr="00F01960">
        <w:rPr>
          <w:rFonts w:ascii="Times New Roman" w:hAnsi="Times New Roman" w:cs="Times New Roman"/>
          <w:sz w:val="24"/>
          <w:szCs w:val="24"/>
        </w:rPr>
        <w:t>ешением</w:t>
      </w:r>
      <w:r w:rsidRPr="00F01960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B8043F" w:rsidRPr="00F01960" w:rsidRDefault="00AE3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1960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F0196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8043F" w:rsidRPr="00F01960" w:rsidRDefault="00AE3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1960">
        <w:rPr>
          <w:rFonts w:ascii="Times New Roman" w:hAnsi="Times New Roman" w:cs="Times New Roman"/>
          <w:sz w:val="24"/>
          <w:szCs w:val="24"/>
        </w:rPr>
        <w:t xml:space="preserve">от </w:t>
      </w:r>
      <w:r w:rsidR="00F01960" w:rsidRPr="00F01960">
        <w:rPr>
          <w:rFonts w:ascii="Times New Roman" w:hAnsi="Times New Roman" w:cs="Times New Roman"/>
          <w:sz w:val="24"/>
          <w:szCs w:val="24"/>
        </w:rPr>
        <w:t>29.04</w:t>
      </w:r>
      <w:r w:rsidRPr="00F01960">
        <w:rPr>
          <w:rFonts w:ascii="Times New Roman" w:hAnsi="Times New Roman" w:cs="Times New Roman"/>
          <w:sz w:val="24"/>
          <w:szCs w:val="24"/>
        </w:rPr>
        <w:t>.2020 №</w:t>
      </w:r>
      <w:r w:rsidR="00F01960" w:rsidRPr="00F01960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AE3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043F" w:rsidRPr="002D0FC4" w:rsidRDefault="00AE3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муниципальным долгом и осуществлении</w:t>
      </w:r>
    </w:p>
    <w:p w:rsidR="00AE3AC8" w:rsidRDefault="00AE3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заимствований </w:t>
      </w:r>
    </w:p>
    <w:p w:rsidR="00B8043F" w:rsidRPr="002D0FC4" w:rsidRDefault="00AE3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принципы и порядок осуществления муниципальных заимствований, управления и обслуживания муниципального дол</w:t>
      </w:r>
      <w:r w:rsidR="00AE3AC8">
        <w:rPr>
          <w:rFonts w:ascii="Times New Roman" w:hAnsi="Times New Roman" w:cs="Times New Roman"/>
          <w:sz w:val="28"/>
          <w:szCs w:val="28"/>
        </w:rPr>
        <w:t xml:space="preserve">га на территории </w:t>
      </w:r>
      <w:proofErr w:type="spellStart"/>
      <w:r w:rsidR="00AE3AC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AE3AC8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муниципальный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II. Муниципальный долг, виды и срочность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долговых обязательств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2.1. Структура муниципального долга представляет собой группировку муниципальных долговых обязательств по следующим видам долговых обязательств:</w:t>
      </w:r>
    </w:p>
    <w:p w:rsidR="00B8043F" w:rsidRPr="002D0FC4" w:rsidRDefault="00AE3AC8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ценным бумагам муниципального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 округа (муниципальным ценным бумагам);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2.1.2. бюджетным кредитам, </w:t>
      </w:r>
      <w:r w:rsidR="00AE3AC8">
        <w:rPr>
          <w:rFonts w:ascii="Times New Roman" w:hAnsi="Times New Roman" w:cs="Times New Roman"/>
          <w:sz w:val="28"/>
          <w:szCs w:val="28"/>
        </w:rPr>
        <w:t>привлеченным в бюджет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от других бюджетов бюджетной системы Российской Федерации;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2.1.3</w:t>
      </w:r>
      <w:r w:rsidR="00AE3AC8">
        <w:rPr>
          <w:rFonts w:ascii="Times New Roman" w:hAnsi="Times New Roman" w:cs="Times New Roman"/>
          <w:sz w:val="28"/>
          <w:szCs w:val="28"/>
        </w:rPr>
        <w:t>. кредитам, полученным муниципальным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округом от кредитных организаций;</w:t>
      </w:r>
    </w:p>
    <w:p w:rsidR="00B8043F" w:rsidRPr="002D0FC4" w:rsidRDefault="00AE3AC8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гарантиям муниципального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 округа (муниципальным гарантиям).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2.2. В объем муниципального долга включаются: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2.2.1. номинальная сумма долга по муниципальным ценным бумагам;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2.2.2. объем основного долга по бюджетным кредитам, </w:t>
      </w:r>
      <w:r w:rsidR="008F2485">
        <w:rPr>
          <w:rFonts w:ascii="Times New Roman" w:hAnsi="Times New Roman" w:cs="Times New Roman"/>
          <w:sz w:val="28"/>
          <w:szCs w:val="28"/>
        </w:rPr>
        <w:t>привлеченным в бюджет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2.2.3. объем основного долга по кр</w:t>
      </w:r>
      <w:r w:rsidR="008F2485">
        <w:rPr>
          <w:rFonts w:ascii="Times New Roman" w:hAnsi="Times New Roman" w:cs="Times New Roman"/>
          <w:sz w:val="28"/>
          <w:szCs w:val="28"/>
        </w:rPr>
        <w:t>едитам, полученным муниципальным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округом;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2.2.4. объем обязательств по муниципальным гарантиям;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2.2.5. объем иных (за исключением указанных) непогашенных </w:t>
      </w:r>
      <w:r w:rsidR="008F2485">
        <w:rPr>
          <w:rFonts w:ascii="Times New Roman" w:hAnsi="Times New Roman" w:cs="Times New Roman"/>
          <w:sz w:val="28"/>
          <w:szCs w:val="28"/>
        </w:rPr>
        <w:t>долговых обязательств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Долговые обязательства городского округа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8043F" w:rsidRPr="002D0FC4" w:rsidRDefault="008F2485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осуществляется </w:t>
      </w:r>
      <w:r w:rsidR="00B8043F" w:rsidRPr="002D0FC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III. Предельный объем муниципального долга, предельный объем</w:t>
      </w:r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расходов на обслуживание муниципального долга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3.1. Предельный объем муниципального долга на очередной финансовый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2D0FC4">
        <w:rPr>
          <w:rFonts w:ascii="Times New Roman" w:hAnsi="Times New Roman" w:cs="Times New Roman"/>
          <w:sz w:val="28"/>
          <w:szCs w:val="28"/>
        </w:rPr>
        <w:t xml:space="preserve"> и каждый год планового периода устанавливается решением о бюджете </w:t>
      </w:r>
      <w:r w:rsidR="008F24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D0FC4">
        <w:rPr>
          <w:rFonts w:ascii="Times New Roman" w:hAnsi="Times New Roman" w:cs="Times New Roman"/>
          <w:sz w:val="28"/>
          <w:szCs w:val="28"/>
        </w:rPr>
        <w:t xml:space="preserve">3.2. Предельный объем муниципального долга не должен превышать утвержденный общий годовой </w:t>
      </w:r>
      <w:r w:rsidR="008F2485">
        <w:rPr>
          <w:rFonts w:ascii="Times New Roman" w:hAnsi="Times New Roman" w:cs="Times New Roman"/>
          <w:sz w:val="28"/>
          <w:szCs w:val="28"/>
        </w:rPr>
        <w:t>объем доходов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3.3. Если при исполнении бюджет</w:t>
      </w:r>
      <w:r w:rsidR="008F2485">
        <w:rPr>
          <w:rFonts w:ascii="Times New Roman" w:hAnsi="Times New Roman" w:cs="Times New Roman"/>
          <w:sz w:val="28"/>
          <w:szCs w:val="28"/>
        </w:rPr>
        <w:t>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объем муниципального долга превышает предельный объем муниципального долга, установленного решением о бюджете </w:t>
      </w:r>
      <w:r w:rsidR="008F24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округа, администрация </w:t>
      </w:r>
      <w:proofErr w:type="spellStart"/>
      <w:r w:rsidR="008F24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8F248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 xml:space="preserve"> вправе принимать новые долговые обязательства только после приведения объема в соответствие с требованиями </w:t>
      </w:r>
      <w:hyperlink w:anchor="P69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2D0FC4">
        <w:rPr>
          <w:rFonts w:ascii="Times New Roman" w:hAnsi="Times New Roman" w:cs="Times New Roman"/>
          <w:sz w:val="28"/>
          <w:szCs w:val="28"/>
        </w:rPr>
        <w:t>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2D0FC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в очередном финансовом году и плановом периоде, утвержденный решением о бюджете </w:t>
      </w:r>
      <w:proofErr w:type="spellStart"/>
      <w:r w:rsidR="008F248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8F24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округа, по данным отчета об исполнении бюджета за отчетный финансовый год не должен превышать 15 процентов об</w:t>
      </w:r>
      <w:r w:rsidR="006E62A2">
        <w:rPr>
          <w:rFonts w:ascii="Times New Roman" w:hAnsi="Times New Roman" w:cs="Times New Roman"/>
          <w:sz w:val="28"/>
          <w:szCs w:val="28"/>
        </w:rPr>
        <w:t>ъема расходов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3.5. Если п</w:t>
      </w:r>
      <w:r w:rsidR="006E62A2">
        <w:rPr>
          <w:rFonts w:ascii="Times New Roman" w:hAnsi="Times New Roman" w:cs="Times New Roman"/>
          <w:sz w:val="28"/>
          <w:szCs w:val="28"/>
        </w:rPr>
        <w:t>ри исполнении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нарушаются предельные значения, указанные в </w:t>
      </w:r>
      <w:hyperlink w:anchor="P69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пунктах 3.2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</w:t>
      </w:r>
      <w:proofErr w:type="spellStart"/>
      <w:r w:rsidR="006E62A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E62A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IV. Реструктуризация муниципального долга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4.1. Реструктуризация муниципального долга производится на основании соглашения о прекращении муниципальных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муниципальных долговых обязательств.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4.2. Реструктуризация муниципального долга может осуществляться с частичным списанием (сокращением) суммы основного долга.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4.3. Сумма расходов на обслуживание </w:t>
      </w:r>
      <w:proofErr w:type="spellStart"/>
      <w:r w:rsidRPr="002D0FC4">
        <w:rPr>
          <w:rFonts w:ascii="Times New Roman" w:hAnsi="Times New Roman" w:cs="Times New Roman"/>
          <w:sz w:val="28"/>
          <w:szCs w:val="28"/>
        </w:rPr>
        <w:t>реструктурируемого</w:t>
      </w:r>
      <w:proofErr w:type="spellEnd"/>
      <w:r w:rsidRPr="002D0FC4">
        <w:rPr>
          <w:rFonts w:ascii="Times New Roman" w:hAnsi="Times New Roman" w:cs="Times New Roman"/>
          <w:sz w:val="28"/>
          <w:szCs w:val="28"/>
        </w:rPr>
        <w:t xml:space="preserve"> долга не включается в объем расходов на обслуживание долгового обязательства в </w:t>
      </w:r>
      <w:r w:rsidRPr="002D0FC4">
        <w:rPr>
          <w:rFonts w:ascii="Times New Roman" w:hAnsi="Times New Roman" w:cs="Times New Roman"/>
          <w:sz w:val="28"/>
          <w:szCs w:val="28"/>
        </w:rPr>
        <w:lastRenderedPageBreak/>
        <w:t xml:space="preserve">текущем финансовом году, если указанная сумма включается в общий объем </w:t>
      </w:r>
      <w:proofErr w:type="spellStart"/>
      <w:r w:rsidRPr="002D0FC4">
        <w:rPr>
          <w:rFonts w:ascii="Times New Roman" w:hAnsi="Times New Roman" w:cs="Times New Roman"/>
          <w:sz w:val="28"/>
          <w:szCs w:val="28"/>
        </w:rPr>
        <w:t>реструктурируемых</w:t>
      </w:r>
      <w:proofErr w:type="spellEnd"/>
      <w:r w:rsidRPr="002D0FC4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V. Условия и порядок осуществления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заимствований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5.1. Муниципальные внутренние заимствования осуществляются в целях фин</w:t>
      </w:r>
      <w:r w:rsidR="006E62A2">
        <w:rPr>
          <w:rFonts w:ascii="Times New Roman" w:hAnsi="Times New Roman" w:cs="Times New Roman"/>
          <w:sz w:val="28"/>
          <w:szCs w:val="28"/>
        </w:rPr>
        <w:t>ансирования дефицита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округа, а также для погашения </w:t>
      </w:r>
      <w:r w:rsidR="006E62A2">
        <w:rPr>
          <w:rFonts w:ascii="Times New Roman" w:hAnsi="Times New Roman" w:cs="Times New Roman"/>
          <w:sz w:val="28"/>
          <w:szCs w:val="28"/>
        </w:rPr>
        <w:t>долговых обязательств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округа, пополнения остатков средств на счетах местного бюджета в течение финансового года.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5.2. Предельный объем муниципальных внутренних заимствований в текущем финансовом году не должен превышать сумму, направляемую в текущем финансовом году на финансиров</w:t>
      </w:r>
      <w:r w:rsidR="006E62A2">
        <w:rPr>
          <w:rFonts w:ascii="Times New Roman" w:hAnsi="Times New Roman" w:cs="Times New Roman"/>
          <w:sz w:val="28"/>
          <w:szCs w:val="28"/>
        </w:rPr>
        <w:t>ание дефицита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и (или) погашение долговых</w:t>
      </w:r>
      <w:r w:rsidR="006E62A2">
        <w:rPr>
          <w:rFonts w:ascii="Times New Roman" w:hAnsi="Times New Roman" w:cs="Times New Roman"/>
          <w:sz w:val="28"/>
          <w:szCs w:val="28"/>
        </w:rPr>
        <w:t xml:space="preserve"> обязательств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5.3. Муниципальные внутренние заимствования осуществляются на основании программы муниципальных заимствований.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5.4. Программа муниципальных внутренних заимствований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средств, направляемых на погашение основной суммы долга по каждому виду заимствований.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5.5. Программа муниципальных внутренних заимствований на очередной финансовый год и плановый период является приложением к решению о бюджете на очередной финансовый год и плановый период.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5.6. Проведение реструктуризации муниципального долга не отражается в программе муниципальных вну</w:t>
      </w:r>
      <w:r w:rsidR="006E62A2">
        <w:rPr>
          <w:rFonts w:ascii="Times New Roman" w:hAnsi="Times New Roman" w:cs="Times New Roman"/>
          <w:sz w:val="28"/>
          <w:szCs w:val="28"/>
        </w:rPr>
        <w:t>тренних заимствований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5.7. Порядок осуществления муниципальных заимствований зависит от видов муниципальных заимствований и способов их осуществления.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VI. Условия и порядок выпуска муниципальных ценных бумаг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6.1. Муниципальные займы осуществляются посредством выпуска муниципальных </w:t>
      </w:r>
      <w:r w:rsidR="006E62A2">
        <w:rPr>
          <w:rFonts w:ascii="Times New Roman" w:hAnsi="Times New Roman" w:cs="Times New Roman"/>
          <w:sz w:val="28"/>
          <w:szCs w:val="28"/>
        </w:rPr>
        <w:t>ценных бумаг от имени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6.2. Выпуск, обращение и погашение муниципальных ценных бумаг осуществляется в соответствии с Федеральным </w:t>
      </w:r>
      <w:hyperlink r:id="rId9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от 29 июля 1998 г. N 136-ФЗ "Об особенностях эмиссии и обращения государственных и муниципальных ценных бумаг".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6.3. Эмитентом муниципальных ценных бумаг выступает администрация </w:t>
      </w:r>
      <w:proofErr w:type="spellStart"/>
      <w:r w:rsidR="006E62A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E62A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8043F" w:rsidRPr="002D0FC4" w:rsidRDefault="00B8043F" w:rsidP="00F30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6.4. Предельный объем выпуска муниципальных ценных бумаг по номинальной стоимости на очередной финансовый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2D0FC4">
        <w:rPr>
          <w:rFonts w:ascii="Times New Roman" w:hAnsi="Times New Roman" w:cs="Times New Roman"/>
          <w:sz w:val="28"/>
          <w:szCs w:val="28"/>
        </w:rPr>
        <w:t xml:space="preserve"> и плановый период устанавливается ре</w:t>
      </w:r>
      <w:r w:rsidR="006E62A2">
        <w:rPr>
          <w:rFonts w:ascii="Times New Roman" w:hAnsi="Times New Roman" w:cs="Times New Roman"/>
          <w:sz w:val="28"/>
          <w:szCs w:val="28"/>
        </w:rPr>
        <w:t xml:space="preserve">шением </w:t>
      </w:r>
      <w:r w:rsidRPr="002D0FC4">
        <w:rPr>
          <w:rFonts w:ascii="Times New Roman" w:hAnsi="Times New Roman" w:cs="Times New Roman"/>
          <w:sz w:val="28"/>
          <w:szCs w:val="28"/>
        </w:rPr>
        <w:t>Думы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2A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E62A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 xml:space="preserve"> в соответствии с верхним пределом муниципального долга, установленным </w:t>
      </w:r>
      <w:r w:rsidRPr="002D0FC4">
        <w:rPr>
          <w:rFonts w:ascii="Times New Roman" w:hAnsi="Times New Roman" w:cs="Times New Roman"/>
          <w:sz w:val="28"/>
          <w:szCs w:val="28"/>
        </w:rPr>
        <w:lastRenderedPageBreak/>
        <w:t>решением о бюджете.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VII. Условия и порядок привлечения кредитов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7.1. Администрация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 xml:space="preserve"> вправе привлекать кредиты от других бюджетов бюджетной системы Российской Федерации и от кредитных организаций в пределах сумм, установленных программой вну</w:t>
      </w:r>
      <w:r w:rsidR="006C73C7">
        <w:rPr>
          <w:rFonts w:ascii="Times New Roman" w:hAnsi="Times New Roman" w:cs="Times New Roman"/>
          <w:sz w:val="28"/>
          <w:szCs w:val="28"/>
        </w:rPr>
        <w:t>тренних заимствований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7.2. Привлечение бюджетных кредитов от других бюджетов бюджетной системы Российской Федерации осуществляется в порядке, установленном действующим законодательством.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7.3. Привлечение кредитов от кредитных организаций осуществляется в соответствии с Федеральным </w:t>
      </w:r>
      <w:hyperlink r:id="rId10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8043F" w:rsidRPr="002D0FC4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7.4. Порядок получения кредитов определяется кредитными договорами, заключенными в соответствии с действующим законодательством. В кредитном договоре должны быть определены предмет договора, цель и размер кредита, срок погашения, процентная ставка за пользование кредитом, обеспечение кредита.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VIII. Условия и порядок предоставления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8043F" w:rsidRPr="002D0FC4" w:rsidRDefault="00B80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гарантий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8.1. Муниципальные гарантии предо</w:t>
      </w:r>
      <w:r w:rsidR="006C73C7">
        <w:rPr>
          <w:rFonts w:ascii="Times New Roman" w:hAnsi="Times New Roman" w:cs="Times New Roman"/>
          <w:sz w:val="28"/>
          <w:szCs w:val="28"/>
        </w:rPr>
        <w:t xml:space="preserve">ставляются администрацией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</w:t>
      </w:r>
      <w:r w:rsidR="006C73C7">
        <w:rPr>
          <w:rFonts w:ascii="Times New Roman" w:hAnsi="Times New Roman" w:cs="Times New Roman"/>
          <w:sz w:val="28"/>
          <w:szCs w:val="28"/>
        </w:rPr>
        <w:t>нтий, указанной в решении</w:t>
      </w:r>
      <w:r w:rsidRPr="002D0FC4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D0FC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в соответствии с требованиями Бюджетного </w:t>
      </w:r>
      <w:hyperlink r:id="rId11" w:history="1">
        <w:r w:rsidRPr="002D0FC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D0FC4">
        <w:rPr>
          <w:rFonts w:ascii="Times New Roman" w:hAnsi="Times New Roman" w:cs="Times New Roman"/>
          <w:sz w:val="28"/>
          <w:szCs w:val="28"/>
        </w:rPr>
        <w:t xml:space="preserve"> и в порядке, установленном муниципальными правовыми актами.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8.2. Гарантом (</w:t>
      </w:r>
      <w:r w:rsidR="006C73C7">
        <w:rPr>
          <w:rFonts w:ascii="Times New Roman" w:hAnsi="Times New Roman" w:cs="Times New Roman"/>
          <w:sz w:val="28"/>
          <w:szCs w:val="28"/>
        </w:rPr>
        <w:t>поручителем) от имени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выступает администрация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8.3.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8.4. Предоставление и исполнение муниципальной гарантии подлежит отражению в муниципальной долговой книге.</w:t>
      </w:r>
    </w:p>
    <w:p w:rsidR="00B8043F" w:rsidRPr="002D0FC4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8.5. Финансовое управление администрации</w:t>
      </w:r>
      <w:r w:rsidR="00F3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D0FC4">
        <w:rPr>
          <w:rFonts w:ascii="Times New Roman" w:hAnsi="Times New Roman" w:cs="Times New Roman"/>
          <w:sz w:val="28"/>
          <w:szCs w:val="28"/>
        </w:rPr>
        <w:t xml:space="preserve"> ведет учет выданных гарантий, исполнения обязатель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D0FC4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IX. Отражение муниципальных заимствований в бюджете</w:t>
      </w:r>
    </w:p>
    <w:p w:rsidR="00B8043F" w:rsidRPr="002D0FC4" w:rsidRDefault="006C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8043F" w:rsidRPr="002D0FC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9.1. Поступления в бюджет средств от заимствований учитываются в источниках финансиров</w:t>
      </w:r>
      <w:r w:rsidR="006C73C7">
        <w:rPr>
          <w:rFonts w:ascii="Times New Roman" w:hAnsi="Times New Roman" w:cs="Times New Roman"/>
          <w:sz w:val="28"/>
          <w:szCs w:val="28"/>
        </w:rPr>
        <w:t>ания дефицита бюджета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путем увеличения объема источников финансирования дефицита.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9.2.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B8043F" w:rsidRPr="002D0FC4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9.3. Погашение основной суммы муниципального долга, возникающего из муниципальных заимствований, отражается в источниках финансирования дефицита бюджета </w:t>
      </w:r>
      <w:r w:rsidR="006C73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путем уменьшения </w:t>
      </w:r>
      <w:proofErr w:type="gramStart"/>
      <w:r w:rsidRPr="002D0FC4">
        <w:rPr>
          <w:rFonts w:ascii="Times New Roman" w:hAnsi="Times New Roman" w:cs="Times New Roman"/>
          <w:sz w:val="28"/>
          <w:szCs w:val="28"/>
        </w:rPr>
        <w:t>объема источников финансирования дефицита бюджета</w:t>
      </w:r>
      <w:proofErr w:type="gramEnd"/>
      <w:r w:rsidRPr="002D0FC4">
        <w:rPr>
          <w:rFonts w:ascii="Times New Roman" w:hAnsi="Times New Roman" w:cs="Times New Roman"/>
          <w:sz w:val="28"/>
          <w:szCs w:val="28"/>
        </w:rPr>
        <w:t>.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43F" w:rsidRPr="002D0FC4" w:rsidRDefault="00B804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X. Учет и регистрация долговых обязательств</w:t>
      </w:r>
    </w:p>
    <w:p w:rsidR="00B8043F" w:rsidRPr="002D0FC4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10.1. Учет и регистрация муниципальных </w:t>
      </w:r>
      <w:r w:rsidR="006C73C7">
        <w:rPr>
          <w:rFonts w:ascii="Times New Roman" w:hAnsi="Times New Roman" w:cs="Times New Roman"/>
          <w:sz w:val="28"/>
          <w:szCs w:val="28"/>
        </w:rPr>
        <w:t>долговых обязательств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осуществляются в муницип</w:t>
      </w:r>
      <w:r w:rsidR="006C73C7">
        <w:rPr>
          <w:rFonts w:ascii="Times New Roman" w:hAnsi="Times New Roman" w:cs="Times New Roman"/>
          <w:sz w:val="28"/>
          <w:szCs w:val="28"/>
        </w:rPr>
        <w:t>альной долговой книге 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10.2. Ведение муниципальной долговой книги осуществляется финансовым управлением администрации </w:t>
      </w:r>
      <w:proofErr w:type="spellStart"/>
      <w:r w:rsidR="006C73C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C73C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F30E21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>10.3.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B8043F" w:rsidRPr="002D0FC4" w:rsidRDefault="00B8043F" w:rsidP="00F30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C4">
        <w:rPr>
          <w:rFonts w:ascii="Times New Roman" w:hAnsi="Times New Roman" w:cs="Times New Roman"/>
          <w:sz w:val="28"/>
          <w:szCs w:val="28"/>
        </w:rPr>
        <w:t xml:space="preserve">10.4. В муниципальную долговую книгу вносятся сведения об объеме долговых обязательств </w:t>
      </w:r>
      <w:r w:rsidR="002920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FC4">
        <w:rPr>
          <w:rFonts w:ascii="Times New Roman" w:hAnsi="Times New Roman" w:cs="Times New Roman"/>
          <w:sz w:val="28"/>
          <w:szCs w:val="28"/>
        </w:rPr>
        <w:t xml:space="preserve"> округа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состав, порядок и срок внесения которой в муниципальную долговую книгу устанавливаются администрацией </w:t>
      </w:r>
      <w:proofErr w:type="spellStart"/>
      <w:r w:rsidR="002920E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920E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D0FC4">
        <w:rPr>
          <w:rFonts w:ascii="Times New Roman" w:hAnsi="Times New Roman" w:cs="Times New Roman"/>
          <w:sz w:val="28"/>
          <w:szCs w:val="28"/>
        </w:rPr>
        <w:t>.</w:t>
      </w:r>
    </w:p>
    <w:p w:rsidR="00B8043F" w:rsidRDefault="00B8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0E8" w:rsidRDefault="0029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0E8" w:rsidRDefault="0029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0E8" w:rsidRPr="002D0FC4" w:rsidRDefault="00292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F3" w:rsidRDefault="002309F3">
      <w:pPr>
        <w:rPr>
          <w:rFonts w:ascii="Times New Roman" w:hAnsi="Times New Roman" w:cs="Times New Roman"/>
          <w:sz w:val="28"/>
          <w:szCs w:val="28"/>
        </w:rPr>
      </w:pPr>
    </w:p>
    <w:p w:rsidR="000B4815" w:rsidRDefault="000B4815">
      <w:pPr>
        <w:rPr>
          <w:rFonts w:ascii="Times New Roman" w:hAnsi="Times New Roman" w:cs="Times New Roman"/>
          <w:sz w:val="28"/>
          <w:szCs w:val="28"/>
        </w:rPr>
      </w:pPr>
    </w:p>
    <w:p w:rsidR="000B4815" w:rsidRDefault="000B4815">
      <w:pPr>
        <w:rPr>
          <w:rFonts w:ascii="Times New Roman" w:hAnsi="Times New Roman" w:cs="Times New Roman"/>
          <w:sz w:val="28"/>
          <w:szCs w:val="28"/>
        </w:rPr>
      </w:pPr>
    </w:p>
    <w:p w:rsidR="000B4815" w:rsidRPr="000B4815" w:rsidRDefault="00F01960" w:rsidP="000B48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15" w:rsidRPr="002D0FC4" w:rsidRDefault="000B4815">
      <w:pPr>
        <w:rPr>
          <w:rFonts w:ascii="Times New Roman" w:hAnsi="Times New Roman" w:cs="Times New Roman"/>
          <w:sz w:val="28"/>
          <w:szCs w:val="28"/>
        </w:rPr>
      </w:pPr>
    </w:p>
    <w:sectPr w:rsidR="000B4815" w:rsidRPr="002D0FC4" w:rsidSect="0030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3F"/>
    <w:rsid w:val="000B4815"/>
    <w:rsid w:val="001E5007"/>
    <w:rsid w:val="00204378"/>
    <w:rsid w:val="002309F3"/>
    <w:rsid w:val="002920E8"/>
    <w:rsid w:val="002D0FC4"/>
    <w:rsid w:val="003538A0"/>
    <w:rsid w:val="003A5C9F"/>
    <w:rsid w:val="004A2592"/>
    <w:rsid w:val="004D4D4F"/>
    <w:rsid w:val="005126CC"/>
    <w:rsid w:val="00541C7A"/>
    <w:rsid w:val="006C73C7"/>
    <w:rsid w:val="006E62A2"/>
    <w:rsid w:val="006F3C3A"/>
    <w:rsid w:val="0076570B"/>
    <w:rsid w:val="007E6864"/>
    <w:rsid w:val="00866B42"/>
    <w:rsid w:val="008F2485"/>
    <w:rsid w:val="00A224DC"/>
    <w:rsid w:val="00A424DC"/>
    <w:rsid w:val="00A74FF3"/>
    <w:rsid w:val="00AA17FA"/>
    <w:rsid w:val="00AE3AC8"/>
    <w:rsid w:val="00B8043F"/>
    <w:rsid w:val="00BB43BA"/>
    <w:rsid w:val="00BF34D5"/>
    <w:rsid w:val="00F01960"/>
    <w:rsid w:val="00F23F3A"/>
    <w:rsid w:val="00F30E21"/>
    <w:rsid w:val="00F41B70"/>
    <w:rsid w:val="00FE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6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AD660F3F0E0A265805810D3D69EF627288304C1B965A39D9AC45AEC6D3054535C76ACA0A4DBEC02FF2E80CF0CEA85E359CD66890D86CD1912FA4F655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AD660F3F0E0A265805806D0BAC9FB2C27DF09C3BB6BF0C0CEC20DB33D3601131C70FAE3E8DDB953BB7B8FC805A0D4A412C267896153G" TargetMode="External"/><Relationship Id="rId11" Type="http://schemas.openxmlformats.org/officeDocument/2006/relationships/hyperlink" Target="consultantplus://offline/ref=D3CAD660F3F0E0A265805806D0BAC9FB2C21DA00C5B46BF0C0CEC20DB33D3601011C28F5E2E2C8ED01E12C82CB6057G" TargetMode="External"/><Relationship Id="rId5" Type="http://schemas.openxmlformats.org/officeDocument/2006/relationships/hyperlink" Target="consultantplus://offline/ref=D3CAD660F3F0E0A265805806D0BAC9FB2C21DA00C5B46BF0C0CEC20DB33D3601011C28F5E2E2C8ED01E12C82CB6057G" TargetMode="External"/><Relationship Id="rId10" Type="http://schemas.openxmlformats.org/officeDocument/2006/relationships/hyperlink" Target="consultantplus://offline/ref=D3CAD660F3F0E0A265805806D0BAC9FB2C27DF0AC8BC6BF0C0CEC20DB33D3601011C28F5E2E2C8ED01E12C82CB605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CAD660F3F0E0A265805806D0BAC9FB2E20DC08C7B96BF0C0CEC20DB33D3601011C28F5E2E2C8ED01E12C82CB605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Zemskoe</cp:lastModifiedBy>
  <cp:revision>14</cp:revision>
  <cp:lastPrinted>2020-04-29T03:21:00Z</cp:lastPrinted>
  <dcterms:created xsi:type="dcterms:W3CDTF">2020-03-12T06:57:00Z</dcterms:created>
  <dcterms:modified xsi:type="dcterms:W3CDTF">2020-05-04T15:37:00Z</dcterms:modified>
</cp:coreProperties>
</file>